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5296" w14:textId="77777777" w:rsidR="00121410" w:rsidRPr="00FF6090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Zakres zamówienia</w:t>
      </w:r>
    </w:p>
    <w:p w14:paraId="7FD12F69" w14:textId="77777777" w:rsidR="00121410" w:rsidRPr="00FF6090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 xml:space="preserve">Zakres zamówienia </w:t>
      </w:r>
      <w:r w:rsidRPr="00FF6090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FF6090">
        <w:rPr>
          <w:rFonts w:ascii="Verdana" w:hAnsi="Verdana"/>
          <w:sz w:val="18"/>
          <w:szCs w:val="18"/>
        </w:rPr>
        <w:t>obejmuje:</w:t>
      </w:r>
    </w:p>
    <w:p w14:paraId="1714D724" w14:textId="77777777" w:rsidR="00121410" w:rsidRPr="00FF609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Oprac</w:t>
      </w:r>
      <w:r w:rsidR="000C4FFF" w:rsidRPr="00FF6090">
        <w:rPr>
          <w:rFonts w:ascii="Verdana" w:hAnsi="Verdana"/>
          <w:sz w:val="18"/>
          <w:szCs w:val="18"/>
        </w:rPr>
        <w:t>owanie dokumentacji projektowej</w:t>
      </w:r>
      <w:r w:rsidR="00C040AB" w:rsidRPr="00FF6090">
        <w:rPr>
          <w:rFonts w:ascii="Verdana" w:hAnsi="Verdana"/>
          <w:sz w:val="18"/>
          <w:szCs w:val="18"/>
          <w:lang w:val="pl-PL"/>
        </w:rPr>
        <w:t xml:space="preserve"> – projektu technicznego</w:t>
      </w:r>
      <w:r w:rsidR="000C4FFF" w:rsidRPr="00FF6090">
        <w:rPr>
          <w:rFonts w:ascii="Verdana" w:hAnsi="Verdana"/>
          <w:sz w:val="18"/>
          <w:szCs w:val="18"/>
          <w:lang w:val="pl-PL"/>
        </w:rPr>
        <w:t>,</w:t>
      </w:r>
    </w:p>
    <w:p w14:paraId="158E4DA2" w14:textId="77777777" w:rsidR="00121410" w:rsidRPr="00FF609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0F44F341" w14:textId="77777777" w:rsidR="00121410" w:rsidRPr="00FF609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Dostawę wszystkich materiałów niezbędnych do realizacji zadania</w:t>
      </w:r>
      <w:r w:rsidRPr="00FF6090">
        <w:rPr>
          <w:rFonts w:ascii="Verdana" w:hAnsi="Verdana"/>
          <w:sz w:val="18"/>
          <w:szCs w:val="18"/>
          <w:lang w:val="pl-PL"/>
        </w:rPr>
        <w:t>,</w:t>
      </w:r>
      <w:r w:rsidRPr="00FF6090">
        <w:rPr>
          <w:rFonts w:ascii="Verdana" w:hAnsi="Verdana"/>
          <w:sz w:val="18"/>
          <w:szCs w:val="18"/>
        </w:rPr>
        <w:t xml:space="preserve"> </w:t>
      </w:r>
    </w:p>
    <w:p w14:paraId="6334CF51" w14:textId="77777777" w:rsidR="00121410" w:rsidRPr="00FF609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FF6090">
        <w:rPr>
          <w:rFonts w:ascii="Verdana" w:hAnsi="Verdana"/>
          <w:sz w:val="18"/>
          <w:szCs w:val="18"/>
          <w:lang w:val="pl-PL"/>
        </w:rPr>
        <w:t>,</w:t>
      </w:r>
    </w:p>
    <w:p w14:paraId="7C0233EF" w14:textId="77777777" w:rsidR="00121410" w:rsidRPr="00FF609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FF6090">
        <w:rPr>
          <w:rFonts w:ascii="Verdana" w:hAnsi="Verdana"/>
          <w:sz w:val="18"/>
          <w:szCs w:val="18"/>
        </w:rPr>
        <w:t>pomontażowych</w:t>
      </w:r>
      <w:proofErr w:type="spellEnd"/>
      <w:r w:rsidRPr="00FF6090">
        <w:rPr>
          <w:rFonts w:ascii="Verdana" w:hAnsi="Verdana"/>
          <w:sz w:val="18"/>
          <w:szCs w:val="18"/>
        </w:rPr>
        <w:t>, oraz uczestniczenie w pracach odbiorowych</w:t>
      </w:r>
      <w:r w:rsidRPr="00FF6090">
        <w:rPr>
          <w:rFonts w:ascii="Verdana" w:hAnsi="Verdana"/>
          <w:sz w:val="18"/>
          <w:szCs w:val="18"/>
          <w:lang w:val="pl-PL"/>
        </w:rPr>
        <w:t>,</w:t>
      </w:r>
    </w:p>
    <w:p w14:paraId="7B8F4C09" w14:textId="77777777" w:rsidR="00121410" w:rsidRPr="00590219" w:rsidRDefault="00121410" w:rsidP="00D362D1">
      <w:pPr>
        <w:pStyle w:val="Styl2"/>
        <w:keepNext/>
      </w:pPr>
      <w:r w:rsidRPr="00FF6090">
        <w:rPr>
          <w:rFonts w:ascii="Verdana" w:hAnsi="Verdana"/>
          <w:sz w:val="18"/>
          <w:szCs w:val="18"/>
        </w:rPr>
        <w:t>Przygotowanie dokumentacji powykonawczej</w:t>
      </w:r>
      <w:r w:rsidRPr="00FF6090">
        <w:rPr>
          <w:rFonts w:ascii="Verdana" w:hAnsi="Verdana"/>
          <w:sz w:val="18"/>
          <w:szCs w:val="18"/>
          <w:lang w:val="pl-PL"/>
        </w:rPr>
        <w:t>.</w:t>
      </w:r>
    </w:p>
    <w:p w14:paraId="4364EAFB" w14:textId="77777777" w:rsidR="00121410" w:rsidRPr="00FF6090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FF6090">
        <w:rPr>
          <w:rFonts w:ascii="Verdana" w:hAnsi="Verdana"/>
          <w:sz w:val="18"/>
          <w:szCs w:val="18"/>
        </w:rPr>
        <w:t>Stan projektowany</w:t>
      </w:r>
      <w:bookmarkEnd w:id="0"/>
    </w:p>
    <w:p w14:paraId="119786D0" w14:textId="77777777" w:rsidR="00121410" w:rsidRPr="00FF6090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FF6090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7D1B950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Modernizacja w zakresie dostosowania pola nr 18 w stacji ZLW (Zelów) do przyłączenia elektrowni słonecznej:</w:t>
      </w:r>
    </w:p>
    <w:p w14:paraId="26321C78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1. </w:t>
      </w:r>
      <w:r w:rsidRPr="00D41521">
        <w:rPr>
          <w:rFonts w:ascii="Verdana" w:hAnsi="Verdana" w:cs="Calibri"/>
          <w:b/>
          <w:sz w:val="18"/>
          <w:szCs w:val="18"/>
        </w:rPr>
        <w:t xml:space="preserve">Zabudować nowe zabezpieczenie 15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z dodatkowymi funkcjami EAZ dla generacji: U&gt;, U&lt;, f&gt;, f&lt;,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df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/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dt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od mocy zwrotnej oraz kontrolą synchronizmu, SCO rozproszone z blokadą od mocy zwrotnej, pomiary należy wyświetlić na wyświetlaczu przekaźnika (proponowany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Micom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lub równoważny). Należy zrealizować postanowienia instrukcji nr 30171/A, </w:t>
      </w:r>
    </w:p>
    <w:p w14:paraId="6B7AEE19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2. </w:t>
      </w:r>
      <w:r w:rsidRPr="00D41521">
        <w:rPr>
          <w:rFonts w:ascii="Verdana" w:hAnsi="Verdana" w:cs="Calibri"/>
          <w:b/>
          <w:sz w:val="18"/>
          <w:szCs w:val="18"/>
        </w:rPr>
        <w:t xml:space="preserve">Należy zabudować nowe przekładniki prądowe (przekładniki w izolacji stałej o przekładni 200-400/5/5/5A, klasa dokładności rdzeni nie gorsza niż: pomiarowych 0,2s, zabezpieczeniowy 5P 20, zabezpieczeniowy 5P 20,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Ith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=100 x In, FS=&lt;5),</w:t>
      </w:r>
    </w:p>
    <w:p w14:paraId="660D325C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3. </w:t>
      </w:r>
      <w:r w:rsidRPr="00D41521">
        <w:rPr>
          <w:rFonts w:ascii="Verdana" w:hAnsi="Verdana" w:cs="Calibri"/>
          <w:b/>
          <w:sz w:val="18"/>
          <w:szCs w:val="18"/>
        </w:rPr>
        <w:t xml:space="preserve">Należy zabudować komplet przekładników napięciowych wraz z bezpiecznikami (przekładniki w izolacji stałej o przekładni 15/(V3)/0,1/(V3)0,1/(V3)/0,1/3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klasa dokładności rdzeni: I rdzeń-0,2 , II rdzeń -1/3P, III rdzeń – 3P otwarty trójkąt, przekładniki wyposażone w podstawy bezpiecznikowe wraz z bezpiecznikami, przekładniki należy zabezpieczyć przed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ferrorezonansem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(np. zastosować urządzenia VT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guard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PRO),</w:t>
      </w:r>
    </w:p>
    <w:p w14:paraId="2351E83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4. </w:t>
      </w:r>
      <w:r w:rsidRPr="00D41521">
        <w:rPr>
          <w:rFonts w:ascii="Verdana" w:hAnsi="Verdana" w:cs="Calibri"/>
          <w:b/>
          <w:sz w:val="18"/>
          <w:szCs w:val="18"/>
        </w:rPr>
        <w:t xml:space="preserve">Zabudować wyłącznik 15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o n/w wymaganiach: napięcie znamionowe - 17,5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znamionowe napięcie izolacji - min. 17,5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napięcie probiercze 50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Hz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- min. 38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napięcie probiercze impulsowe - min. 95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prąd znamionowy wyłączalny Iz - 20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kA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prąd znamionowy pól liniowych In -  630 A, 2 cewki wyłączające - 220 V DC, cewka załączająca - 220 V DC, napęd silnikowo-zasobnikowy, sprężynowy lub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elektromagn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. - 220 V DC, środowisko gaszenia łuku – próżnia, ilość cykli łączeniowych wyłącznika przy In - min. 30 000, ilość cykli łączeniowych zwarć przy Iz - min. 50, wewnętrzny układ blokady przeciw pompowaniu, temperatura pracy - od -5 C   do + 40 C, styk migowy sygnalizacji wyłączenia, styki pomocnicze: 8 x NO + 8 x NC, styk sygnalizacji zbrojenia napędu 1 x NO + 1 x NC, przycisk załączający i wyłączający zamontowane na obudowie wyłącznika dostępne z korytarza obsługi, mechaniczny wskaźnik stanu położenia wyłącznika, wskaźnik stanu zbrojenia napędu, licznik cykli łączeniowych, możliwość zbrojenia napędu przy braku napięcia 220 V DC,</w:t>
      </w:r>
    </w:p>
    <w:p w14:paraId="18472675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5. </w:t>
      </w:r>
      <w:r w:rsidRPr="00D41521">
        <w:rPr>
          <w:rFonts w:ascii="Verdana" w:hAnsi="Verdana" w:cs="Calibri"/>
          <w:b/>
          <w:sz w:val="18"/>
          <w:szCs w:val="18"/>
        </w:rPr>
        <w:t>Zabudować nowy przekładnik Ferrantiego o przekładni 100/1A,</w:t>
      </w:r>
    </w:p>
    <w:p w14:paraId="7C9B161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6. </w:t>
      </w:r>
      <w:r w:rsidRPr="00D41521">
        <w:rPr>
          <w:rFonts w:ascii="Verdana" w:hAnsi="Verdana" w:cs="Calibri"/>
          <w:b/>
          <w:sz w:val="18"/>
          <w:szCs w:val="18"/>
        </w:rPr>
        <w:t xml:space="preserve">Należy sprawdzić i ewentualnie wymienić w polu: wszystkie sterowniki pakietowe (łączniki krzywkowe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itd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),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oprzewodowanie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, listwy (w tym listwę obwodów okrężnych), bezpieczniki, nakładki, przyciski sterownicze itd.,</w:t>
      </w:r>
    </w:p>
    <w:p w14:paraId="64AC5EE7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7. </w:t>
      </w:r>
      <w:r w:rsidRPr="00D41521">
        <w:rPr>
          <w:rFonts w:ascii="Verdana" w:hAnsi="Verdana" w:cs="Calibri"/>
          <w:b/>
          <w:sz w:val="18"/>
          <w:szCs w:val="18"/>
        </w:rPr>
        <w:t>Zamontować listwę kontrolną pomiarową,</w:t>
      </w:r>
    </w:p>
    <w:p w14:paraId="43C1B43C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 xml:space="preserve">8. </w:t>
      </w:r>
      <w:r w:rsidRPr="00D41521">
        <w:rPr>
          <w:rFonts w:ascii="Verdana" w:hAnsi="Verdana" w:cs="Calibri"/>
          <w:b/>
          <w:sz w:val="18"/>
          <w:szCs w:val="18"/>
        </w:rPr>
        <w:t xml:space="preserve">Przekonfigurować/doposażyć sterownik telemechaniki wraz z edycją w systemie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WindEx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oraz przekazać po pracach końcowego pliku konfiguracji do Wydziału Specjalistycznego,</w:t>
      </w:r>
    </w:p>
    <w:p w14:paraId="792C4659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9. </w:t>
      </w:r>
      <w:r w:rsidRPr="00D41521">
        <w:rPr>
          <w:rFonts w:ascii="Verdana" w:hAnsi="Verdana" w:cs="Calibri"/>
          <w:b/>
          <w:sz w:val="18"/>
          <w:szCs w:val="18"/>
        </w:rPr>
        <w:t>Uruchomić kanał inżynierski,</w:t>
      </w:r>
    </w:p>
    <w:p w14:paraId="3293BB65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10. </w:t>
      </w:r>
      <w:r w:rsidRPr="00D41521">
        <w:rPr>
          <w:rFonts w:ascii="Verdana" w:hAnsi="Verdana" w:cs="Calibri"/>
          <w:b/>
          <w:sz w:val="18"/>
          <w:szCs w:val="18"/>
        </w:rPr>
        <w:t xml:space="preserve">Wykonać dokumentację techniczną ww. pola 15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(w zakresie całego pola),</w:t>
      </w:r>
    </w:p>
    <w:p w14:paraId="6888DD4B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11. </w:t>
      </w:r>
      <w:r w:rsidRPr="00D41521">
        <w:rPr>
          <w:rFonts w:ascii="Verdana" w:hAnsi="Verdana" w:cs="Calibri"/>
          <w:b/>
          <w:sz w:val="18"/>
          <w:szCs w:val="18"/>
        </w:rPr>
        <w:t xml:space="preserve">Wykonać obliczenie nastaw dla pola 15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kV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,</w:t>
      </w:r>
    </w:p>
    <w:p w14:paraId="659E6AA6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12. </w:t>
      </w:r>
      <w:r w:rsidRPr="00D41521">
        <w:rPr>
          <w:rFonts w:ascii="Verdana" w:hAnsi="Verdana" w:cs="Calibri"/>
          <w:b/>
          <w:sz w:val="18"/>
          <w:szCs w:val="18"/>
        </w:rPr>
        <w:t>Pole po wykonanych pracach należy pozostawić w pełni sprawne,</w:t>
      </w:r>
    </w:p>
    <w:p w14:paraId="096E4B6F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13. </w:t>
      </w:r>
      <w:r w:rsidRPr="00D41521">
        <w:rPr>
          <w:rFonts w:ascii="Verdana" w:hAnsi="Verdana" w:cs="Calibri"/>
          <w:b/>
          <w:sz w:val="18"/>
          <w:szCs w:val="18"/>
        </w:rPr>
        <w:t>Zdemontowane wyposażenie zutylizować.</w:t>
      </w:r>
    </w:p>
    <w:p w14:paraId="67508EBB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</w:p>
    <w:p w14:paraId="1880789F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W zakresie łączności:</w:t>
      </w:r>
    </w:p>
    <w:p w14:paraId="13A039B1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W miejsce zainstalowanych w szafie łączności serwerów portów szeregowych: MOXA 5650-16 (dane licznikowe) i MOXA 5650-8 (Kanał inż.) dostarczyć i zainstalować  dwa serwery portów szeregowych: min. 16 portów każdy, szyfrowana transmisja danych (seria 66xx), zasilanie 48VDC.</w:t>
      </w:r>
    </w:p>
    <w:p w14:paraId="04D1EB2F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Rozbudować sieć strukturalną na stacji o niezbędne okablowanie potrzebne do transmisji danych z projektowanych urządzeń.</w:t>
      </w:r>
    </w:p>
    <w:p w14:paraId="0438202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Dla realizacji rezerwowej transmisji danych (dane pomiarowe) przez sieć GSM stosować modemy/routery spełniające wymagania:</w:t>
      </w:r>
    </w:p>
    <w:p w14:paraId="7837175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możliwość pracy 2 kart SIM (jedna karta działa jako podstawowa droga transmisji a druga zapewnia redundancję połączenia jeśli przez pierwszą nie ma połączenia)</w:t>
      </w:r>
    </w:p>
    <w:p w14:paraId="748853C0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- 1 wejście antenowe;</w:t>
      </w:r>
    </w:p>
    <w:p w14:paraId="2D01EE74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- Interfejs ETH 1 x 10/100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Mbps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;</w:t>
      </w:r>
    </w:p>
    <w:p w14:paraId="3E259BC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zasilanie 9 – 48 V DC;</w:t>
      </w:r>
    </w:p>
    <w:p w14:paraId="43D6E223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temperatura pracy w zakresie od  -25 do +60°C;</w:t>
      </w:r>
    </w:p>
    <w:p w14:paraId="25AE2A50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klasa szczelności co najmniej IP30;</w:t>
      </w:r>
    </w:p>
    <w:p w14:paraId="259A117C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Montaż na szynie DIN;</w:t>
      </w:r>
    </w:p>
    <w:p w14:paraId="229D9465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obsługa GPRS/3G/LTE i LTE 450;</w:t>
      </w:r>
    </w:p>
    <w:p w14:paraId="1252B213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-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IPsec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/VPN/GRE/L2TP/PPTP;</w:t>
      </w:r>
    </w:p>
    <w:p w14:paraId="09862C0B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Zarządzanie przez serwer, lokalnie poprzez LAN, oraz zdalnie poprzez WAN;</w:t>
      </w:r>
    </w:p>
    <w:p w14:paraId="7B544AC1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- konfiguracja WEB serwer, SSH, kopia zapasowa i odtwarzanie konfiguracji;</w:t>
      </w:r>
    </w:p>
    <w:p w14:paraId="6BC4C71F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- Protokoły PPP,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PPPoE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, TCP, UDP, DHCP, ICMP, NAT, 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HTTPs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>, DNS, ARP, NTP, SMTP, VLAN, SSH2, DDNS, LwM2M, TR069</w:t>
      </w:r>
    </w:p>
    <w:p w14:paraId="7717D796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</w:p>
    <w:p w14:paraId="68B681E9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Układy pomiarowe bilansowo-kontrolne w stacjach WN/SN powinny spełniać wymagania obowiązującej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IRiESD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i obowiązujących WBSE Tom 7  w szczególności:</w:t>
      </w:r>
    </w:p>
    <w:p w14:paraId="3CA2C18E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1. </w:t>
      </w:r>
      <w:r w:rsidRPr="00D41521">
        <w:rPr>
          <w:rFonts w:ascii="Verdana" w:hAnsi="Verdana" w:cs="Calibri"/>
          <w:b/>
          <w:sz w:val="18"/>
          <w:szCs w:val="18"/>
        </w:rPr>
        <w:t xml:space="preserve">Muszą być wyposażone w przekładniki prądowe o rdzeniach pomiarowych w klasie dokładności nie gorszej niż 0,2s i napięciowe o uzwojeniach pomiarowych w klasie dokładności nie gorszej niż 0,2 z dedykowanymi rdzeniami/uzwojeniami pomiarowymi  z uwzględnieniem możliwie najmniejszej liczby łączeń do licznikowych listew kontrolno-pomiarowych przystosowanych do plombowania. Do uzwojeń wtórnych przekładników w układach pomiarowych nie należy przyłączać innych przyrządów poza licznikami energii elektrycznej </w:t>
      </w:r>
    </w:p>
    <w:p w14:paraId="4AE82C5E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2. </w:t>
      </w:r>
      <w:r w:rsidRPr="00D41521">
        <w:rPr>
          <w:rFonts w:ascii="Verdana" w:hAnsi="Verdana" w:cs="Calibri"/>
          <w:b/>
          <w:sz w:val="18"/>
          <w:szCs w:val="18"/>
        </w:rPr>
        <w:t xml:space="preserve">Przekładniki napięciowe w układach bilansowo-kontrolnych oraz potrzeb własnych należy zabezpieczyć po stronie uzwojenia wtórnego. </w:t>
      </w:r>
    </w:p>
    <w:p w14:paraId="47FAEC70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 xml:space="preserve">3. </w:t>
      </w:r>
      <w:r w:rsidRPr="00D41521">
        <w:rPr>
          <w:rFonts w:ascii="Verdana" w:hAnsi="Verdana" w:cs="Calibri"/>
          <w:b/>
          <w:sz w:val="18"/>
          <w:szCs w:val="18"/>
        </w:rPr>
        <w:t xml:space="preserve">Moc znamionowa rdzeni i uzwojeń przekładników pomiarowych powinna zostać dobrana tak, żeby obciążenie strony wtórnej zawierało się miedzy 25%, a 100% wartości nominalnej mocy uzwojeń/rdzeni tych przekładników. W przypadku przekładników, których parametry znamionowe umożliwiają obciążenie strony wtórnej w innym zakresie, obciążenie strony wtórnej należy dobierać do znamionowego zakresu obciążalności przekładników. </w:t>
      </w:r>
    </w:p>
    <w:p w14:paraId="004D59CF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4. </w:t>
      </w:r>
      <w:r w:rsidRPr="00D41521">
        <w:rPr>
          <w:rFonts w:ascii="Verdana" w:hAnsi="Verdana" w:cs="Calibri"/>
          <w:b/>
          <w:sz w:val="18"/>
          <w:szCs w:val="18"/>
        </w:rPr>
        <w:t>Nie należy stosować rezystorów dociążających dla przekładników napięciowych oraz prądowych. (W uzasadnionych przypadkach, poza technicznie niezbędnymi, dopuszcza się dociążenie przekładników prądowych i napięciowych atestowanymi rezystorami dociążającymi instalowanymi w obudowach przystosowanych do plombowania.</w:t>
      </w:r>
    </w:p>
    <w:p w14:paraId="327B1AD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5. </w:t>
      </w:r>
      <w:r w:rsidRPr="00D41521">
        <w:rPr>
          <w:rFonts w:ascii="Verdana" w:hAnsi="Verdana" w:cs="Calibri"/>
          <w:b/>
          <w:sz w:val="18"/>
          <w:szCs w:val="18"/>
        </w:rPr>
        <w:t>Współczynnik bezpieczeństwa przyrządu (FS) dla przekładników prądowych w układach pomiarowych powinien być ≤5.</w:t>
      </w:r>
    </w:p>
    <w:p w14:paraId="37C260C3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6. </w:t>
      </w:r>
      <w:r w:rsidRPr="00D41521">
        <w:rPr>
          <w:rFonts w:ascii="Verdana" w:hAnsi="Verdana" w:cs="Calibri"/>
          <w:b/>
          <w:sz w:val="18"/>
          <w:szCs w:val="18"/>
        </w:rPr>
        <w:t xml:space="preserve">Liczniki energii elektrycznej muszą być statyczne, czterokwadrantowe, wielostrefowe, </w:t>
      </w:r>
    </w:p>
    <w:p w14:paraId="3706DDDA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3-fazowe z wbudowanym zegarem sterującym, wykonanie zgodne z obowiązującymi na obszarze Rzeczpospolitej Polskiej przepisami. (w szczególności muszą spełniać wymagania określone w Rozporządzeniu Ministra Klimatu i Środowiska z dnia 22 marca 2022 roku w sprawie systemu pomiarowego dla kategorii A i Rozporządzeniu Ministra Klimatu i Środowiska z dnia 22.03.2023 roku w sprawie szczegółowych warunków funkcjonowania systemu elektroenergetycznego). </w:t>
      </w:r>
    </w:p>
    <w:p w14:paraId="1D79B2D6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7. </w:t>
      </w:r>
      <w:r w:rsidRPr="00D41521">
        <w:rPr>
          <w:rFonts w:ascii="Verdana" w:hAnsi="Verdana" w:cs="Calibri"/>
          <w:b/>
          <w:sz w:val="18"/>
          <w:szCs w:val="18"/>
        </w:rPr>
        <w:t xml:space="preserve">Dodatkowo muszą mieć możliwość zdalnej i lokalnej zmiany metody pomiaru i rejestracji energii z metody wektorowej na metodę arytmetyczną, rejestracje i przechowywanie w pamięci pomiarów wymaganych profili obciążenia oraz zapewniać odczyt lokalny w przypadku awarii łączy transmisyjnych lub w celach kontrolnych. W przypadku urządzeń, które nie podlegają prawnej kontroli metrologicznej lub dla których nie jest wymagana homologacja, urządzenie musi posiadać odpowiednie świadectwo badań (świadectwo wzorcowania), potwierdzające poprawność pomiarów zgodnie z obowiązującymi normami i przepisami. Powyższe badania powinny być wykonane przez uprawnione laboratoria posiadające akredytację w przedmiotowym zakresie. Okres pomiędzy kolejnymi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wzorcowaniami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tych urządzeń (za wyjątkiem przekładników pomiarowych prądowych i napięciowych) nie powinien przekraczać okresu ważności cech legalizacyjnych lub zabezpieczających (MID) licznika energii czynnej zainstalowanego w tym samym układzie pomiarowo-rozliczeniowym. Okres między kolejnymi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wzorcowaniami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liczników, które nie podlegają prawnej kontroli metrologicznej, jest równy okresowi ważności legalizacji liczników klasy C, które podlegają tej kontroli, zgodnie z przepisami odrębnymi. Urządzenia podlegające wzorcowaniu powinny posiadać cechę zabezpieczającą nałożoną przez producenta lub laboratorium oraz nałożoną przez laboratorium cechę potwierdzającą dokonanie wzorcowania.</w:t>
      </w:r>
    </w:p>
    <w:p w14:paraId="60CE8FE3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8. </w:t>
      </w:r>
      <w:r w:rsidRPr="00D41521">
        <w:rPr>
          <w:rFonts w:ascii="Verdana" w:hAnsi="Verdana" w:cs="Calibri"/>
          <w:b/>
          <w:sz w:val="18"/>
          <w:szCs w:val="18"/>
        </w:rPr>
        <w:t>Muszą posiadać najmniej dwa niezależne interfejsy elektryczne typu RS485 lub RS 232 oraz port Ethernet (LAN)</w:t>
      </w:r>
    </w:p>
    <w:p w14:paraId="6F72D0A0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9. </w:t>
      </w:r>
      <w:r w:rsidRPr="00D41521">
        <w:rPr>
          <w:rFonts w:ascii="Verdana" w:hAnsi="Verdana" w:cs="Calibri"/>
          <w:b/>
          <w:sz w:val="18"/>
          <w:szCs w:val="18"/>
        </w:rPr>
        <w:t xml:space="preserve">Z liczników energii elektrycznej należy wyprowadzić zdalną transmisję danych pomiarowych dwutorową. Interfejs Ethernet 10/100 </w:t>
      </w:r>
      <w:proofErr w:type="spellStart"/>
      <w:r w:rsidRPr="00D41521">
        <w:rPr>
          <w:rFonts w:ascii="Verdana" w:hAnsi="Verdana" w:cs="Calibri"/>
          <w:b/>
          <w:sz w:val="18"/>
          <w:szCs w:val="18"/>
        </w:rPr>
        <w:t>Mbps</w:t>
      </w:r>
      <w:proofErr w:type="spellEnd"/>
      <w:r w:rsidRPr="00D41521">
        <w:rPr>
          <w:rFonts w:ascii="Verdana" w:hAnsi="Verdana" w:cs="Calibri"/>
          <w:b/>
          <w:sz w:val="18"/>
          <w:szCs w:val="18"/>
        </w:rPr>
        <w:t xml:space="preserve"> (gniazdo RJ-45) jako drogę podstawową oraz GPRS (w technologii LTE 450 wraz z 2G i 4G) jako rezerwową drogę transmisji danych. Szyna danych RS 485 winna być łączona w punktach węzłowych za pomocą złączek szynowych 3 piętrowych. Nie należy stosować trójników    (rozgałęźników) telefonicznych </w:t>
      </w:r>
    </w:p>
    <w:p w14:paraId="22BA902D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10.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D41521">
        <w:rPr>
          <w:rFonts w:ascii="Verdana" w:hAnsi="Verdana" w:cs="Calibri"/>
          <w:b/>
          <w:sz w:val="18"/>
          <w:szCs w:val="18"/>
        </w:rPr>
        <w:t>Układy pomiarowe należy instalować w oddzielnych nowoprojektowanych szafach pomiarowych zlokalizowanych w pomieszczeniach nastawni lub wykorzystać szafy pomiarowe istniejące. Należy unikać zbyt niskiego usytuowania liczników.</w:t>
      </w:r>
    </w:p>
    <w:p w14:paraId="6A39C02C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 xml:space="preserve">11. Listwy kontrolno-pomiarowe muszą posiadać zaciski sprężynowe do podłączania obwodów wtórnych układów pomiarowych zabezpieczania (w postaci bezpieczników topikowych) w torach napięciowych jeżeli warunki zwarciowe tego </w:t>
      </w:r>
      <w:r w:rsidRPr="00D41521">
        <w:rPr>
          <w:rFonts w:ascii="Verdana" w:hAnsi="Verdana" w:cs="Calibri"/>
          <w:b/>
          <w:sz w:val="18"/>
          <w:szCs w:val="18"/>
        </w:rPr>
        <w:lastRenderedPageBreak/>
        <w:t xml:space="preserve">wymagają, powinny umożliwiać połącznie urządzenia kontrolnego (np. analizator obwodów trójfazowych, licznik kontrolny) . </w:t>
      </w:r>
    </w:p>
    <w:p w14:paraId="448E502B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12. </w:t>
      </w:r>
      <w:r w:rsidRPr="00D41521">
        <w:rPr>
          <w:rFonts w:ascii="Verdana" w:hAnsi="Verdana" w:cs="Calibri"/>
          <w:b/>
          <w:sz w:val="18"/>
          <w:szCs w:val="18"/>
        </w:rPr>
        <w:t>Do liczników należy doprowadzić napięcie pomocnicze (dodatkowe) z potrzeb własnych stacji.</w:t>
      </w:r>
    </w:p>
    <w:p w14:paraId="22A668F3" w14:textId="77777777" w:rsidR="00217E06" w:rsidRPr="00D41521" w:rsidRDefault="00217E06" w:rsidP="00217E06">
      <w:pPr>
        <w:rPr>
          <w:rFonts w:ascii="Verdana" w:hAnsi="Verdana" w:cs="Calibri"/>
          <w:b/>
          <w:sz w:val="18"/>
          <w:szCs w:val="18"/>
        </w:rPr>
      </w:pPr>
    </w:p>
    <w:p w14:paraId="6514F842" w14:textId="77777777" w:rsidR="00217E06" w:rsidRDefault="00217E06" w:rsidP="00217E06">
      <w:pPr>
        <w:rPr>
          <w:rFonts w:ascii="Verdana" w:hAnsi="Verdana" w:cs="Calibri"/>
          <w:b/>
          <w:sz w:val="18"/>
          <w:szCs w:val="18"/>
        </w:rPr>
      </w:pPr>
      <w:r w:rsidRPr="00D41521">
        <w:rPr>
          <w:rFonts w:ascii="Verdana" w:hAnsi="Verdana" w:cs="Calibri"/>
          <w:b/>
          <w:sz w:val="18"/>
          <w:szCs w:val="18"/>
        </w:rPr>
        <w:t>Uwaga: Wszystkie urządzenia, elementy układów pomiarowych dostarcza wykonawca</w:t>
      </w:r>
    </w:p>
    <w:p w14:paraId="7084EED7" w14:textId="77777777" w:rsidR="00217E06" w:rsidRPr="00B80151" w:rsidRDefault="00217E06" w:rsidP="00217E06">
      <w:pPr>
        <w:rPr>
          <w:rFonts w:ascii="Verdana" w:hAnsi="Verdana" w:cs="Calibri"/>
          <w:b/>
          <w:color w:val="FF0000"/>
          <w:sz w:val="18"/>
          <w:szCs w:val="18"/>
        </w:rPr>
      </w:pPr>
      <w:r w:rsidRPr="00B80151">
        <w:rPr>
          <w:rFonts w:ascii="Verdana" w:hAnsi="Verdana" w:cs="Calibri"/>
          <w:b/>
          <w:color w:val="FF0000"/>
          <w:sz w:val="18"/>
          <w:szCs w:val="18"/>
        </w:rPr>
        <w:t>Po zakończeniu prac Wykonawca zobowiązany jest do wykonania testów układu SCO zakończonego protokołem odbioru zgodnie z INST 30171/A – zał. nr 3 do instrukcji</w:t>
      </w:r>
    </w:p>
    <w:p w14:paraId="36CB9967" w14:textId="77777777" w:rsidR="004D3A15" w:rsidRPr="00FF6090" w:rsidRDefault="00217E06" w:rsidP="00217E06">
      <w:pPr>
        <w:pStyle w:val="Nagwek1"/>
        <w:numPr>
          <w:ilvl w:val="0"/>
          <w:numId w:val="0"/>
        </w:numPr>
        <w:ind w:left="432"/>
        <w:rPr>
          <w:rFonts w:ascii="Verdana" w:hAnsi="Verdana"/>
          <w:sz w:val="18"/>
          <w:szCs w:val="18"/>
          <w:lang w:val="pl-PL"/>
        </w:rPr>
      </w:pPr>
      <w:r w:rsidRPr="00B80151">
        <w:rPr>
          <w:rFonts w:ascii="Verdana" w:hAnsi="Verdana" w:cs="Calibri"/>
          <w:color w:val="FF0000"/>
          <w:sz w:val="18"/>
          <w:szCs w:val="18"/>
        </w:rPr>
        <w:t>Czas zadziałania SCO, mierzony od chwili przekroczenia nastawionego progu działania przez opadającą częstotliwość, do chwili zamknięcia zestyku sterującego wyłącznikiem, zapewniający równocześnie odporność przekaźnika SCO na zakłócenia występujące w sieci inne niż opadająca w wyniku deficytu mocy czynnej częstotliwość, powinien być mniejszy niż 80ms. Czas ten musi obejmować logikę wyłączania z SCO powiązaną z kierunkiem przepływu mocy czynnej</w:t>
      </w:r>
    </w:p>
    <w:p w14:paraId="3BC8E274" w14:textId="77777777" w:rsidR="00121410" w:rsidRPr="00FF6090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FF6090">
        <w:rPr>
          <w:rFonts w:ascii="Verdana" w:hAnsi="Verdana"/>
          <w:sz w:val="18"/>
          <w:szCs w:val="18"/>
          <w:lang w:val="pl-PL"/>
        </w:rPr>
        <w:t>Przygotowanie dokumentacji projektowej</w:t>
      </w:r>
    </w:p>
    <w:p w14:paraId="24A45468" w14:textId="77777777" w:rsidR="00A71BDA" w:rsidRPr="00FF609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FF6090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FF6090">
        <w:rPr>
          <w:rFonts w:ascii="Verdana" w:hAnsi="Verdana"/>
          <w:b/>
          <w:sz w:val="18"/>
          <w:szCs w:val="18"/>
        </w:rPr>
        <w:t xml:space="preserve"> </w:t>
      </w:r>
    </w:p>
    <w:p w14:paraId="4F46F292" w14:textId="77777777" w:rsidR="00A71BDA" w:rsidRPr="00FF6090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F6090">
        <w:rPr>
          <w:rFonts w:ascii="Verdana" w:hAnsi="Verdana" w:cs="Calibri"/>
          <w:sz w:val="18"/>
          <w:szCs w:val="18"/>
        </w:rPr>
        <w:t xml:space="preserve">Zamówienie w zakresie dokumentacji projektowej </w:t>
      </w:r>
      <w:r w:rsidRPr="00FF6090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FF6090">
        <w:rPr>
          <w:rFonts w:ascii="Verdana" w:hAnsi="Verdana"/>
          <w:sz w:val="18"/>
          <w:szCs w:val="18"/>
        </w:rPr>
        <w:t>/przebudowy</w:t>
      </w:r>
      <w:r w:rsidRPr="00FF6090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6FD4AE3E" w14:textId="77777777" w:rsidR="00A71BDA" w:rsidRPr="00FF6090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FF6090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FF6090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FF6090">
        <w:rPr>
          <w:rFonts w:ascii="Verdana" w:hAnsi="Verdana"/>
          <w:color w:val="000000"/>
          <w:sz w:val="18"/>
          <w:szCs w:val="18"/>
        </w:rPr>
        <w:t xml:space="preserve"> standardami budowy urządzeń objętych w opracowaniu „Wytyczne do budowy systemów elektroenergetycznych w PGE Dystrybucja S.A”</w:t>
      </w:r>
      <w:r w:rsidR="00286B0E" w:rsidRPr="00FF6090">
        <w:rPr>
          <w:rFonts w:ascii="Verdana" w:hAnsi="Verdana"/>
          <w:color w:val="000000"/>
          <w:sz w:val="18"/>
          <w:szCs w:val="18"/>
        </w:rPr>
        <w:t>.</w:t>
      </w:r>
    </w:p>
    <w:bookmarkEnd w:id="2"/>
    <w:p w14:paraId="4D2D6D3E" w14:textId="77777777" w:rsidR="00A71BDA" w:rsidRPr="00FF6090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F6090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FF6090">
        <w:rPr>
          <w:rFonts w:ascii="Verdana" w:hAnsi="Verdana"/>
          <w:color w:val="000000"/>
          <w:sz w:val="18"/>
          <w:szCs w:val="18"/>
        </w:rPr>
        <w:t xml:space="preserve"> Zamawiającemu do uzgodnień i akceptacji</w:t>
      </w:r>
      <w:r w:rsidR="00E1551C" w:rsidRPr="00FF6090">
        <w:rPr>
          <w:rFonts w:ascii="Verdana" w:hAnsi="Verdana"/>
          <w:color w:val="000000"/>
          <w:sz w:val="18"/>
          <w:szCs w:val="18"/>
        </w:rPr>
        <w:t xml:space="preserve"> przed zgłoszeniem wykonania robót budowlano –</w:t>
      </w:r>
      <w:r w:rsidRPr="00FF6090">
        <w:rPr>
          <w:rFonts w:ascii="Verdana" w:hAnsi="Verdana"/>
          <w:color w:val="000000"/>
          <w:sz w:val="18"/>
          <w:szCs w:val="18"/>
        </w:rPr>
        <w:t xml:space="preserve"> montażowych i ich rozpoczęciem</w:t>
      </w:r>
      <w:r w:rsidR="00A71BDA" w:rsidRPr="00FF6090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FF6090">
        <w:rPr>
          <w:rFonts w:ascii="Verdana" w:hAnsi="Verdana"/>
          <w:color w:val="000000"/>
          <w:sz w:val="18"/>
          <w:szCs w:val="18"/>
        </w:rPr>
        <w:t>projektu</w:t>
      </w:r>
      <w:r w:rsidR="00A71BDA" w:rsidRPr="00FF6090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z wiedzą techniczną.</w:t>
      </w:r>
    </w:p>
    <w:p w14:paraId="62C4D2F1" w14:textId="77777777" w:rsidR="00A71BDA" w:rsidRPr="00FF6090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F6090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FF6090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FF6090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FF6090">
        <w:rPr>
          <w:rFonts w:ascii="Verdana" w:hAnsi="Verdana"/>
          <w:color w:val="000000"/>
          <w:sz w:val="18"/>
          <w:szCs w:val="18"/>
        </w:rPr>
        <w:t>dokumentacji projektowej</w:t>
      </w:r>
      <w:r w:rsidRPr="00FF6090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FF6090">
        <w:rPr>
          <w:rFonts w:ascii="Verdana" w:hAnsi="Verdana"/>
          <w:color w:val="000000"/>
          <w:sz w:val="18"/>
          <w:szCs w:val="18"/>
        </w:rPr>
        <w:t>.</w:t>
      </w:r>
    </w:p>
    <w:p w14:paraId="33DD4536" w14:textId="77777777" w:rsidR="00A71BDA" w:rsidRPr="00FF6090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F6090">
        <w:rPr>
          <w:rFonts w:ascii="Verdana" w:hAnsi="Verdana"/>
          <w:color w:val="000000"/>
          <w:sz w:val="18"/>
          <w:szCs w:val="18"/>
        </w:rPr>
        <w:t xml:space="preserve">W dokumentacji projektowej </w:t>
      </w:r>
      <w:r w:rsidR="00A71BDA" w:rsidRPr="00FF6090">
        <w:rPr>
          <w:rFonts w:ascii="Verdana" w:hAnsi="Verdana"/>
          <w:color w:val="000000"/>
          <w:sz w:val="18"/>
          <w:szCs w:val="18"/>
        </w:rPr>
        <w:t>utrzymać zgodnoś</w:t>
      </w:r>
      <w:r w:rsidRPr="00FF6090">
        <w:rPr>
          <w:rFonts w:ascii="Verdana" w:hAnsi="Verdana"/>
          <w:color w:val="000000"/>
          <w:sz w:val="18"/>
          <w:szCs w:val="18"/>
        </w:rPr>
        <w:t xml:space="preserve">ć nadanych </w:t>
      </w:r>
      <w:proofErr w:type="spellStart"/>
      <w:r w:rsidRPr="00FF6090">
        <w:rPr>
          <w:rFonts w:ascii="Verdana" w:hAnsi="Verdana"/>
          <w:color w:val="000000"/>
          <w:sz w:val="18"/>
          <w:szCs w:val="18"/>
        </w:rPr>
        <w:t>oznakowań</w:t>
      </w:r>
      <w:proofErr w:type="spellEnd"/>
      <w:r w:rsidRPr="00FF6090">
        <w:rPr>
          <w:rFonts w:ascii="Verdana" w:hAnsi="Verdana"/>
          <w:color w:val="000000"/>
          <w:sz w:val="18"/>
          <w:szCs w:val="18"/>
        </w:rPr>
        <w:t xml:space="preserve">, opisów, </w:t>
      </w:r>
      <w:r w:rsidR="00A71BDA" w:rsidRPr="00FF6090">
        <w:rPr>
          <w:rFonts w:ascii="Verdana" w:hAnsi="Verdana"/>
          <w:color w:val="000000"/>
          <w:sz w:val="18"/>
          <w:szCs w:val="18"/>
        </w:rPr>
        <w:t>relacji, identyfikujących urządzenia w terenie.</w:t>
      </w:r>
    </w:p>
    <w:p w14:paraId="4AB50467" w14:textId="77777777" w:rsidR="00A71BDA" w:rsidRPr="00FF6090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F6090">
        <w:rPr>
          <w:rFonts w:ascii="Verdana" w:hAnsi="Verdana"/>
          <w:color w:val="000000"/>
          <w:sz w:val="18"/>
          <w:szCs w:val="18"/>
        </w:rPr>
        <w:t>Wszelką dokumentację należy sporządzić w języku polskim.</w:t>
      </w:r>
    </w:p>
    <w:p w14:paraId="1D76D0D1" w14:textId="77777777" w:rsidR="00A71BDA" w:rsidRPr="002E275F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FF6090">
        <w:rPr>
          <w:rFonts w:ascii="Verdana" w:hAnsi="Verdana" w:cstheme="minorHAnsi"/>
          <w:color w:val="000000" w:themeColor="text1"/>
          <w:sz w:val="18"/>
          <w:szCs w:val="18"/>
        </w:rPr>
        <w:t>Dokumentację projektową należy sporządzić w formie papierowej w ilości</w:t>
      </w:r>
      <w:r w:rsidR="002E275F" w:rsidRPr="00FF609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umowy, której wzór jest załącznikiem do </w:t>
      </w:r>
      <w:r w:rsidR="00064A37" w:rsidRPr="00FF609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FF609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FF609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72359CE4" w14:textId="77777777" w:rsidR="00A71BDA" w:rsidRPr="00FF6090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FF6090">
        <w:rPr>
          <w:rFonts w:ascii="Verdana" w:hAnsi="Verdana"/>
          <w:sz w:val="18"/>
          <w:szCs w:val="18"/>
        </w:rPr>
        <w:t>Zakres robót</w:t>
      </w:r>
    </w:p>
    <w:p w14:paraId="0DD0D529" w14:textId="77777777" w:rsidR="00B45067" w:rsidRPr="00FF6090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FF6090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FF6090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FF6090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FF6090">
        <w:rPr>
          <w:rFonts w:ascii="Verdana" w:hAnsi="Verdana"/>
          <w:b/>
          <w:color w:val="auto"/>
          <w:sz w:val="18"/>
          <w:szCs w:val="18"/>
        </w:rPr>
        <w:t>:</w:t>
      </w:r>
    </w:p>
    <w:p w14:paraId="1F8E42F7" w14:textId="77777777" w:rsidR="001E1B00" w:rsidRPr="00FF6090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FF6090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AB5F7F">
        <w:rPr>
          <w:rFonts w:ascii="Verdana" w:hAnsi="Verdana"/>
          <w:b/>
          <w:bCs/>
          <w:sz w:val="18"/>
          <w:szCs w:val="18"/>
          <w:lang w:eastAsia="x-none"/>
        </w:rPr>
        <w:t>72</w:t>
      </w:r>
      <w:r w:rsidRPr="00FF6090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Pr="00FF6090">
        <w:rPr>
          <w:rFonts w:ascii="Verdana" w:hAnsi="Verdana"/>
          <w:b/>
          <w:bCs/>
          <w:sz w:val="18"/>
          <w:szCs w:val="18"/>
          <w:lang w:val="x-none" w:eastAsia="x-none"/>
        </w:rPr>
        <w:t>godzin.</w:t>
      </w:r>
      <w:r w:rsidRPr="00FF6090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FF6090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FF6090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FF6090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AB5F7F">
        <w:rPr>
          <w:rFonts w:ascii="Verdana" w:hAnsi="Verdana"/>
          <w:b/>
          <w:bCs/>
          <w:sz w:val="18"/>
          <w:szCs w:val="18"/>
          <w:lang w:eastAsia="x-none"/>
        </w:rPr>
        <w:t>8</w:t>
      </w:r>
      <w:r w:rsidR="004D3A15" w:rsidRPr="00FF6090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4D3A15" w:rsidRPr="00FF6090">
        <w:rPr>
          <w:rFonts w:ascii="Verdana" w:hAnsi="Verdana"/>
          <w:b/>
          <w:bCs/>
          <w:sz w:val="18"/>
          <w:szCs w:val="18"/>
          <w:lang w:val="x-none" w:eastAsia="x-none"/>
        </w:rPr>
        <w:t>godzin.</w:t>
      </w:r>
    </w:p>
    <w:p w14:paraId="2FABB2A2" w14:textId="77777777" w:rsidR="00400AD7" w:rsidRPr="00FF6090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 xml:space="preserve">Zamawiający zobowiązuje Wykonawcę </w:t>
      </w:r>
      <w:r w:rsidRPr="00FF6090">
        <w:rPr>
          <w:rFonts w:ascii="Verdana" w:hAnsi="Verdana"/>
          <w:sz w:val="18"/>
          <w:szCs w:val="18"/>
          <w:lang w:val="pl-PL"/>
        </w:rPr>
        <w:t>do złożenia</w:t>
      </w:r>
      <w:r w:rsidRPr="00FF6090">
        <w:rPr>
          <w:rFonts w:ascii="Verdana" w:hAnsi="Verdana"/>
          <w:sz w:val="18"/>
          <w:szCs w:val="18"/>
        </w:rPr>
        <w:t xml:space="preserve"> w terminie </w:t>
      </w:r>
      <w:r w:rsidRPr="00FF6090">
        <w:rPr>
          <w:rFonts w:ascii="Verdana" w:hAnsi="Verdana"/>
          <w:sz w:val="18"/>
          <w:szCs w:val="18"/>
          <w:lang w:val="pl-PL"/>
        </w:rPr>
        <w:t>10</w:t>
      </w:r>
      <w:r w:rsidRPr="00FF6090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FF6090">
        <w:rPr>
          <w:rFonts w:ascii="Verdana" w:hAnsi="Verdana"/>
          <w:sz w:val="18"/>
          <w:szCs w:val="18"/>
        </w:rPr>
        <w:t>wyłączeń</w:t>
      </w:r>
      <w:proofErr w:type="spellEnd"/>
      <w:r w:rsidRPr="00FF6090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FF6090">
        <w:rPr>
          <w:rFonts w:ascii="Verdana" w:hAnsi="Verdana"/>
          <w:sz w:val="18"/>
          <w:szCs w:val="18"/>
          <w:lang w:val="pl-PL"/>
        </w:rPr>
        <w:t>ogłoszenia</w:t>
      </w:r>
      <w:r w:rsidRPr="00FF6090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FF6090">
        <w:rPr>
          <w:rFonts w:ascii="Verdana" w:hAnsi="Verdana"/>
          <w:sz w:val="18"/>
          <w:szCs w:val="18"/>
        </w:rPr>
        <w:t xml:space="preserve">. Wymaga się akceptacji harmonogramu prac przez Inspektora Nadzoru oraz pracownika Centrum </w:t>
      </w:r>
      <w:r w:rsidRPr="00FF6090">
        <w:rPr>
          <w:rFonts w:ascii="Verdana" w:hAnsi="Verdana"/>
          <w:sz w:val="18"/>
          <w:szCs w:val="18"/>
        </w:rPr>
        <w:lastRenderedPageBreak/>
        <w:t>Dyspozytorskiego w Rejonie Energetycznym. Bez wymienionych akceptacji Wykonawca nie będzie dopuszczany do prac na sieci elektroenergetycznej</w:t>
      </w:r>
      <w:r w:rsidRPr="00FF6090">
        <w:rPr>
          <w:rFonts w:ascii="Verdana" w:hAnsi="Verdana"/>
          <w:sz w:val="18"/>
          <w:szCs w:val="18"/>
          <w:lang w:val="pl-PL"/>
        </w:rPr>
        <w:t>.</w:t>
      </w:r>
    </w:p>
    <w:p w14:paraId="68F0AD77" w14:textId="77777777" w:rsidR="00920C89" w:rsidRPr="00FF6090" w:rsidRDefault="00920C89" w:rsidP="00920C89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Pr="00FF6090">
        <w:rPr>
          <w:rFonts w:ascii="Verdana" w:hAnsi="Verdana"/>
          <w:sz w:val="18"/>
          <w:szCs w:val="18"/>
          <w:lang w:val="pl-PL"/>
        </w:rPr>
        <w:t>nN</w:t>
      </w:r>
      <w:proofErr w:type="spellEnd"/>
      <w:r w:rsidRPr="00FF6090">
        <w:rPr>
          <w:rFonts w:ascii="Verdana" w:hAnsi="Verdana"/>
          <w:sz w:val="18"/>
          <w:szCs w:val="18"/>
          <w:lang w:val="pl-PL"/>
        </w:rPr>
        <w:t xml:space="preserve"> objętych dokumentacją projektową, w sposób maksymalnie wykorzystujący technologie prac pod napięciem w sieci i przy urządzeniach </w:t>
      </w:r>
      <w:proofErr w:type="spellStart"/>
      <w:r w:rsidRPr="00FF6090">
        <w:rPr>
          <w:rFonts w:ascii="Verdana" w:hAnsi="Verdana"/>
          <w:sz w:val="18"/>
          <w:szCs w:val="18"/>
          <w:lang w:val="pl-PL"/>
        </w:rPr>
        <w:t>nN.</w:t>
      </w:r>
      <w:proofErr w:type="spellEnd"/>
      <w:r w:rsidRPr="00FF6090">
        <w:rPr>
          <w:rFonts w:ascii="Verdana" w:hAnsi="Verdana"/>
          <w:sz w:val="18"/>
          <w:szCs w:val="18"/>
          <w:lang w:val="pl-PL"/>
        </w:rPr>
        <w:t xml:space="preserve"> Prace winny być realizowane zgodnie technologiami zawartymi w „Instrukcji organizacji </w:t>
      </w:r>
      <w:r w:rsidRPr="00FF6090">
        <w:rPr>
          <w:rFonts w:ascii="Verdana" w:hAnsi="Verdana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FF6090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FF6090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743BAC68" w14:textId="77777777" w:rsidR="00920C89" w:rsidRPr="00FF6090" w:rsidRDefault="00920C89" w:rsidP="00920C89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FF6090">
        <w:rPr>
          <w:rFonts w:ascii="Verdana" w:hAnsi="Verdana"/>
          <w:sz w:val="18"/>
          <w:szCs w:val="18"/>
        </w:rPr>
        <w:t>samod</w:t>
      </w:r>
      <w:r w:rsidRPr="00FF6090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FF6090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FF6090">
        <w:rPr>
          <w:rFonts w:ascii="Verdana" w:hAnsi="Verdana"/>
          <w:sz w:val="18"/>
          <w:szCs w:val="18"/>
          <w:lang w:val="pl-PL"/>
        </w:rPr>
        <w:t>zostały</w:t>
      </w:r>
      <w:r w:rsidRPr="00FF6090">
        <w:rPr>
          <w:rFonts w:ascii="Verdana" w:hAnsi="Verdana"/>
          <w:sz w:val="18"/>
          <w:szCs w:val="18"/>
        </w:rPr>
        <w:t xml:space="preserve"> w </w:t>
      </w:r>
      <w:r w:rsidR="00EB418B" w:rsidRPr="00FF6090">
        <w:rPr>
          <w:rFonts w:ascii="Verdana" w:hAnsi="Verdana"/>
          <w:sz w:val="18"/>
          <w:szCs w:val="18"/>
        </w:rPr>
        <w:t>„Instrukcj</w:t>
      </w:r>
      <w:r w:rsidR="00EB418B" w:rsidRPr="00FF6090">
        <w:rPr>
          <w:rFonts w:ascii="Verdana" w:hAnsi="Verdana"/>
          <w:sz w:val="18"/>
          <w:szCs w:val="18"/>
          <w:lang w:val="pl-PL"/>
        </w:rPr>
        <w:t>i</w:t>
      </w:r>
      <w:r w:rsidRPr="00FF6090">
        <w:rPr>
          <w:rFonts w:ascii="Verdana" w:hAnsi="Verdana"/>
          <w:sz w:val="18"/>
          <w:szCs w:val="18"/>
        </w:rPr>
        <w:t xml:space="preserve"> </w:t>
      </w:r>
      <w:r w:rsidRPr="00FF6090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FF6090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FF6090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FF6090">
        <w:rPr>
          <w:rFonts w:ascii="Verdana" w:hAnsi="Verdana"/>
          <w:sz w:val="18"/>
          <w:szCs w:val="18"/>
          <w:lang w:val="pl-PL"/>
        </w:rPr>
        <w:t>. Oddział</w:t>
      </w:r>
      <w:r w:rsidR="00385417" w:rsidRPr="00FF6090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FF6090">
        <w:rPr>
          <w:rFonts w:ascii="Verdana" w:hAnsi="Verdana"/>
          <w:sz w:val="18"/>
          <w:szCs w:val="18"/>
        </w:rPr>
        <w:t>Łódź</w:t>
      </w:r>
      <w:r w:rsidRPr="00FF6090">
        <w:rPr>
          <w:rFonts w:ascii="Verdana" w:hAnsi="Verdana"/>
          <w:sz w:val="18"/>
          <w:szCs w:val="18"/>
        </w:rPr>
        <w:t>”</w:t>
      </w:r>
    </w:p>
    <w:p w14:paraId="30520D7D" w14:textId="77777777" w:rsidR="00920C89" w:rsidRPr="00FF6090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FF6090">
        <w:rPr>
          <w:rFonts w:ascii="Verdana" w:hAnsi="Verdana"/>
          <w:sz w:val="18"/>
          <w:szCs w:val="18"/>
          <w:lang w:val="pl-PL"/>
        </w:rPr>
        <w:t>.</w:t>
      </w:r>
    </w:p>
    <w:p w14:paraId="56DC4A0D" w14:textId="77777777" w:rsidR="0084499D" w:rsidRPr="00FF6090" w:rsidRDefault="00920C89" w:rsidP="00920C89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  <w:lang w:val="pl-PL"/>
        </w:rPr>
        <w:t xml:space="preserve">Na Wykonawcy spoczywa </w:t>
      </w:r>
      <w:r w:rsidRPr="00FF6090">
        <w:rPr>
          <w:rFonts w:ascii="Verdana" w:hAnsi="Verdana"/>
          <w:sz w:val="18"/>
          <w:szCs w:val="18"/>
        </w:rPr>
        <w:t xml:space="preserve">obowiązek zakupu dziennika budowy i przekazania go do </w:t>
      </w:r>
      <w:r w:rsidRPr="00FF6090">
        <w:rPr>
          <w:rFonts w:ascii="Verdana" w:hAnsi="Verdana"/>
          <w:sz w:val="18"/>
          <w:szCs w:val="18"/>
          <w:lang w:val="pl-PL"/>
        </w:rPr>
        <w:t>Zamawiającego</w:t>
      </w:r>
      <w:r w:rsidR="00286B0E" w:rsidRPr="00FF6090">
        <w:rPr>
          <w:rFonts w:ascii="Verdana" w:hAnsi="Verdana"/>
          <w:sz w:val="18"/>
          <w:szCs w:val="18"/>
          <w:lang w:val="pl-PL"/>
        </w:rPr>
        <w:t xml:space="preserve"> – jeżeli przedmiot prac tego wymaga</w:t>
      </w:r>
      <w:r w:rsidR="006E6D32" w:rsidRPr="00FF6090">
        <w:rPr>
          <w:rFonts w:ascii="Verdana" w:hAnsi="Verdana"/>
          <w:sz w:val="18"/>
          <w:szCs w:val="18"/>
          <w:lang w:val="pl-PL"/>
        </w:rPr>
        <w:t>.</w:t>
      </w:r>
    </w:p>
    <w:p w14:paraId="5C11C62A" w14:textId="77777777" w:rsidR="0084499D" w:rsidRPr="00FF6090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FF6090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FF6090">
        <w:rPr>
          <w:rFonts w:ascii="Verdana" w:hAnsi="Verdana"/>
          <w:sz w:val="18"/>
          <w:szCs w:val="18"/>
        </w:rPr>
        <w:t xml:space="preserve">określa </w:t>
      </w:r>
      <w:r w:rsidRPr="00FF6090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FF6090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F6090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F6090">
        <w:rPr>
          <w:rFonts w:ascii="Verdana" w:hAnsi="Verdana"/>
          <w:i/>
          <w:sz w:val="18"/>
          <w:szCs w:val="18"/>
          <w:lang w:val="pl-PL"/>
        </w:rPr>
        <w:t>WZ</w:t>
      </w:r>
      <w:r w:rsidRPr="00FF6090">
        <w:rPr>
          <w:rFonts w:ascii="Verdana" w:hAnsi="Verdana"/>
          <w:sz w:val="18"/>
          <w:szCs w:val="18"/>
          <w:lang w:val="pl-PL"/>
        </w:rPr>
        <w:t>.</w:t>
      </w:r>
    </w:p>
    <w:p w14:paraId="30EC133F" w14:textId="77777777" w:rsidR="00040D5A" w:rsidRPr="00FF6090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Osoby wykonując</w:t>
      </w:r>
      <w:r w:rsidRPr="00FF6090">
        <w:rPr>
          <w:rFonts w:ascii="Verdana" w:hAnsi="Verdana"/>
          <w:sz w:val="18"/>
          <w:szCs w:val="18"/>
          <w:lang w:val="pl-PL"/>
        </w:rPr>
        <w:t>e</w:t>
      </w:r>
      <w:r w:rsidR="00040D5A" w:rsidRPr="00FF6090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FF6090">
        <w:rPr>
          <w:rFonts w:ascii="Verdana" w:hAnsi="Verdana"/>
          <w:sz w:val="18"/>
          <w:szCs w:val="18"/>
        </w:rPr>
        <w:t>E Dystrybucja S.A. Oddział Łódź</w:t>
      </w:r>
      <w:r w:rsidR="00040D5A" w:rsidRPr="00FF6090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FF6090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FF6090">
        <w:rPr>
          <w:rFonts w:ascii="Verdana" w:hAnsi="Verdana"/>
          <w:sz w:val="18"/>
          <w:szCs w:val="18"/>
        </w:rPr>
        <w:t>”, „Instrukcji organizacji prac</w:t>
      </w:r>
      <w:r w:rsidR="0047324A" w:rsidRPr="00FF6090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FF6090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FF609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F609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F609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FF6090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FF6090">
        <w:rPr>
          <w:rFonts w:ascii="Verdana" w:hAnsi="Verdana"/>
          <w:sz w:val="18"/>
          <w:szCs w:val="18"/>
          <w:lang w:val="pl-PL"/>
        </w:rPr>
        <w:t xml:space="preserve"> </w:t>
      </w:r>
    </w:p>
    <w:p w14:paraId="6BAB377E" w14:textId="77777777" w:rsidR="002D0F48" w:rsidRPr="00FF6090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FF6090">
        <w:rPr>
          <w:rFonts w:ascii="Verdana" w:hAnsi="Verdana"/>
          <w:b/>
          <w:color w:val="auto"/>
          <w:sz w:val="18"/>
          <w:szCs w:val="18"/>
        </w:rPr>
        <w:t>Dostawy:</w:t>
      </w:r>
    </w:p>
    <w:p w14:paraId="227CD449" w14:textId="77777777" w:rsidR="006E4E9F" w:rsidRPr="00FF609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FF609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FF609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FF609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FF609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FF609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FF609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FF609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FF609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FF609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FF609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FF609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FF609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FF609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29E8C392" w14:textId="77777777" w:rsidR="00E357A5" w:rsidRPr="00786C81" w:rsidRDefault="003734DF" w:rsidP="00786C81">
      <w:pPr>
        <w:pStyle w:val="Styl2"/>
        <w:numPr>
          <w:ilvl w:val="0"/>
          <w:numId w:val="12"/>
        </w:numPr>
      </w:pPr>
      <w:r w:rsidRPr="00FF6090">
        <w:rPr>
          <w:rFonts w:ascii="Verdana" w:hAnsi="Verdana"/>
          <w:sz w:val="18"/>
          <w:szCs w:val="18"/>
        </w:rPr>
        <w:t xml:space="preserve">Pozostałe, podstawowe wymagania dotyczące </w:t>
      </w:r>
      <w:r w:rsidRPr="00FF6090">
        <w:rPr>
          <w:rFonts w:ascii="Verdana" w:hAnsi="Verdana"/>
          <w:sz w:val="18"/>
          <w:szCs w:val="18"/>
          <w:lang w:val="pl-PL"/>
        </w:rPr>
        <w:t xml:space="preserve">dostaw </w:t>
      </w:r>
      <w:r w:rsidRPr="00FF6090">
        <w:rPr>
          <w:rFonts w:ascii="Verdana" w:hAnsi="Verdana"/>
          <w:sz w:val="18"/>
          <w:szCs w:val="18"/>
        </w:rPr>
        <w:t xml:space="preserve">określa </w:t>
      </w:r>
      <w:r w:rsidRPr="00FF6090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FF6090">
        <w:rPr>
          <w:rFonts w:ascii="Verdana" w:hAnsi="Verdana"/>
          <w:sz w:val="18"/>
          <w:szCs w:val="18"/>
          <w:lang w:val="pl-PL"/>
        </w:rPr>
        <w:t xml:space="preserve"> </w:t>
      </w:r>
      <w:r w:rsidRPr="00FF6090">
        <w:rPr>
          <w:rFonts w:ascii="Verdana" w:hAnsi="Verdana"/>
          <w:sz w:val="18"/>
          <w:szCs w:val="18"/>
          <w:lang w:val="pl-PL"/>
        </w:rPr>
        <w:t>załącznik</w:t>
      </w:r>
      <w:r w:rsidR="000C4FFF" w:rsidRPr="00FF6090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F6090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F6090">
        <w:rPr>
          <w:rFonts w:ascii="Verdana" w:hAnsi="Verdana"/>
          <w:i/>
          <w:sz w:val="18"/>
          <w:szCs w:val="18"/>
          <w:lang w:val="pl-PL"/>
        </w:rPr>
        <w:t>WZ</w:t>
      </w:r>
      <w:r w:rsidRPr="00FF6090">
        <w:rPr>
          <w:rFonts w:ascii="Verdana" w:hAnsi="Verdana"/>
          <w:sz w:val="18"/>
          <w:szCs w:val="18"/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14:paraId="61A383B7" w14:textId="77777777" w:rsidR="002D0F48" w:rsidRPr="00FF6090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FF6090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5900EEDA" w14:textId="77777777" w:rsidR="00AD579B" w:rsidRPr="00FF6090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W</w:t>
      </w:r>
      <w:r w:rsidR="00AD579B" w:rsidRPr="00FF6090">
        <w:rPr>
          <w:rFonts w:ascii="Verdana" w:hAnsi="Verdana"/>
          <w:sz w:val="18"/>
          <w:szCs w:val="18"/>
        </w:rPr>
        <w:t>ymaga</w:t>
      </w:r>
      <w:r w:rsidRPr="00FF6090">
        <w:rPr>
          <w:rFonts w:ascii="Verdana" w:hAnsi="Verdana"/>
          <w:sz w:val="18"/>
          <w:szCs w:val="18"/>
        </w:rPr>
        <w:t>nia</w:t>
      </w:r>
      <w:r w:rsidRPr="00FF6090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FF6090">
        <w:rPr>
          <w:rFonts w:ascii="Verdana" w:hAnsi="Verdana"/>
          <w:sz w:val="18"/>
          <w:szCs w:val="18"/>
        </w:rPr>
        <w:t xml:space="preserve">dotyczące </w:t>
      </w:r>
      <w:r w:rsidRPr="00FF6090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FF6090">
        <w:rPr>
          <w:rFonts w:ascii="Verdana" w:hAnsi="Verdana"/>
          <w:sz w:val="18"/>
          <w:szCs w:val="18"/>
        </w:rPr>
        <w:t>określa umowa stanowiąca załącznik</w:t>
      </w:r>
      <w:r w:rsidR="000C4FFF" w:rsidRPr="00FF6090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FF6090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F6090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FF6090">
        <w:rPr>
          <w:rFonts w:ascii="Verdana" w:hAnsi="Verdana"/>
          <w:sz w:val="18"/>
          <w:szCs w:val="18"/>
        </w:rPr>
        <w:t>.</w:t>
      </w:r>
      <w:r w:rsidR="00AD579B" w:rsidRPr="00FF6090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13D80634" w14:textId="77777777" w:rsidR="002D0F48" w:rsidRPr="00FF6090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FF6090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172A6AC" w14:textId="77777777" w:rsidR="007111DA" w:rsidRPr="003734DF" w:rsidRDefault="008D351C" w:rsidP="003734DF">
      <w:pPr>
        <w:pStyle w:val="bezpunkw"/>
        <w:rPr>
          <w:lang w:val="pl-PL"/>
        </w:rPr>
      </w:pPr>
      <w:r w:rsidRPr="00FF6090">
        <w:rPr>
          <w:rFonts w:ascii="Verdana" w:hAnsi="Verdana"/>
          <w:sz w:val="18"/>
          <w:szCs w:val="18"/>
        </w:rPr>
        <w:t>Odbiory prac dokonywane są przez Zamawiającego</w:t>
      </w:r>
      <w:r w:rsidR="00E90392" w:rsidRPr="00FF6090">
        <w:rPr>
          <w:rFonts w:ascii="Verdana" w:hAnsi="Verdana"/>
          <w:sz w:val="18"/>
          <w:szCs w:val="18"/>
        </w:rPr>
        <w:t xml:space="preserve"> zgodnie z „</w:t>
      </w:r>
      <w:r w:rsidR="00201B52" w:rsidRPr="00FF6090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FF6090">
        <w:rPr>
          <w:rFonts w:ascii="Verdana" w:hAnsi="Verdana"/>
          <w:sz w:val="18"/>
          <w:szCs w:val="18"/>
          <w:lang w:val="pl-PL"/>
        </w:rPr>
        <w:br/>
      </w:r>
      <w:r w:rsidR="0032137D" w:rsidRPr="00FF6090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FF6090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FF6090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FF609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FF609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FF6090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FF609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FF609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FF609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FF6090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FF6090">
        <w:rPr>
          <w:rFonts w:ascii="Verdana" w:hAnsi="Verdana"/>
          <w:sz w:val="18"/>
          <w:szCs w:val="18"/>
        </w:rPr>
        <w:t xml:space="preserve"> </w:t>
      </w:r>
      <w:r w:rsidR="003734DF" w:rsidRPr="00FF6090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FF6090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FF6090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FF6090">
        <w:rPr>
          <w:rFonts w:ascii="Verdana" w:hAnsi="Verdana"/>
          <w:sz w:val="18"/>
          <w:szCs w:val="18"/>
        </w:rPr>
        <w:t>robót budowlanych stanowiącej załącznik</w:t>
      </w:r>
      <w:r w:rsidR="000C4FFF" w:rsidRPr="00FF6090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FF6090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FF6090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FF6090">
        <w:rPr>
          <w:rFonts w:ascii="Verdana" w:hAnsi="Verdana"/>
          <w:sz w:val="18"/>
          <w:szCs w:val="18"/>
          <w:lang w:val="pl-PL"/>
        </w:rPr>
        <w:t>.</w:t>
      </w:r>
    </w:p>
    <w:p w14:paraId="0670EDA7" w14:textId="77777777" w:rsidR="002D0F48" w:rsidRPr="00FF6090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FF6090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3559D8FD" w14:textId="77777777" w:rsidR="002D0F48" w:rsidRPr="00FF6090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52E63A06" w14:textId="77777777" w:rsidR="002D0F48" w:rsidRPr="00FF609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FF6090">
        <w:rPr>
          <w:rFonts w:ascii="Verdana" w:hAnsi="Verdana"/>
          <w:sz w:val="18"/>
          <w:szCs w:val="18"/>
          <w:lang w:val="pl-PL"/>
        </w:rPr>
        <w:t>dokumentację projektową</w:t>
      </w:r>
      <w:r w:rsidR="002D0F48" w:rsidRPr="00FF6090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54CE965" w14:textId="77777777" w:rsidR="002D0F48" w:rsidRPr="00FF609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lastRenderedPageBreak/>
        <w:t xml:space="preserve">Protokoły z przeprowadzonych </w:t>
      </w:r>
      <w:r w:rsidR="00286B0E" w:rsidRPr="00FF6090">
        <w:rPr>
          <w:rFonts w:ascii="Verdana" w:hAnsi="Verdana"/>
          <w:sz w:val="18"/>
          <w:szCs w:val="18"/>
          <w:lang w:val="pl-PL"/>
        </w:rPr>
        <w:t xml:space="preserve">prób i </w:t>
      </w:r>
      <w:r w:rsidRPr="00FF6090">
        <w:rPr>
          <w:rFonts w:ascii="Verdana" w:hAnsi="Verdana"/>
          <w:sz w:val="18"/>
          <w:szCs w:val="18"/>
        </w:rPr>
        <w:t>pomiarów.</w:t>
      </w:r>
    </w:p>
    <w:p w14:paraId="52A2B323" w14:textId="77777777" w:rsidR="005C400D" w:rsidRPr="00FF6090" w:rsidRDefault="00FA1A2A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  <w:lang w:val="pl-PL"/>
        </w:rPr>
        <w:t>D</w:t>
      </w:r>
      <w:proofErr w:type="spellStart"/>
      <w:r w:rsidR="007E76DD" w:rsidRPr="00FF6090">
        <w:rPr>
          <w:rFonts w:ascii="Verdana" w:hAnsi="Verdana"/>
          <w:sz w:val="18"/>
          <w:szCs w:val="18"/>
        </w:rPr>
        <w:t>okumenty</w:t>
      </w:r>
      <w:proofErr w:type="spellEnd"/>
      <w:r w:rsidR="007E76DD" w:rsidRPr="00FF6090">
        <w:rPr>
          <w:rFonts w:ascii="Verdana" w:hAnsi="Verdana"/>
          <w:sz w:val="18"/>
          <w:szCs w:val="18"/>
        </w:rPr>
        <w:t xml:space="preserve"> dotyczące wyrobów budowlanych (materiałów i urządzeń) wbudowanych w obiekt potwierdzających ich projektowane właściwości użytkowe, charakterystyki techniczne i świadczące o legalnym wprowadzeniu ich do obrotu</w:t>
      </w:r>
      <w:r w:rsidR="00286B0E" w:rsidRPr="00FF6090">
        <w:rPr>
          <w:rFonts w:ascii="Verdana" w:hAnsi="Verdana"/>
          <w:sz w:val="18"/>
          <w:szCs w:val="18"/>
          <w:lang w:val="pl-PL"/>
        </w:rPr>
        <w:t>.</w:t>
      </w:r>
    </w:p>
    <w:p w14:paraId="46BF31B0" w14:textId="77777777" w:rsidR="00D1298B" w:rsidRPr="00FF6090" w:rsidRDefault="00D1298B" w:rsidP="00D1298B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inwentarzowego.</w:t>
      </w:r>
    </w:p>
    <w:p w14:paraId="2FE1FCF6" w14:textId="77777777" w:rsidR="00D1298B" w:rsidRPr="00FF6090" w:rsidRDefault="00D1298B" w:rsidP="00D1298B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F6090">
        <w:rPr>
          <w:rFonts w:ascii="Verdana" w:hAnsi="Verdana"/>
          <w:sz w:val="18"/>
          <w:szCs w:val="18"/>
        </w:rPr>
        <w:t>Dokumentacja projektowa i powykonawcza przebiegu sieci wraz z atrybutami zinwentaryzowanych elementów stanowi integralną część dokumentacji i wymagana jest w plikach wektorowych z rozszerzeniem .</w:t>
      </w:r>
      <w:proofErr w:type="spellStart"/>
      <w:r w:rsidRPr="00FF6090">
        <w:rPr>
          <w:rFonts w:ascii="Verdana" w:hAnsi="Verdana"/>
          <w:sz w:val="18"/>
          <w:szCs w:val="18"/>
        </w:rPr>
        <w:t>shp</w:t>
      </w:r>
      <w:proofErr w:type="spellEnd"/>
      <w:r w:rsidRPr="00FF6090">
        <w:rPr>
          <w:rFonts w:ascii="Verdana" w:hAnsi="Verdana"/>
          <w:sz w:val="18"/>
          <w:szCs w:val="18"/>
        </w:rPr>
        <w:t xml:space="preserve"> dla inwentaryzowanych warstw w układach 2000 (pas 6,7), 1992(m), 1965 (strefa_1).</w:t>
      </w:r>
    </w:p>
    <w:p w14:paraId="0BB242E9" w14:textId="77777777" w:rsidR="005C400D" w:rsidRPr="00FF6090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FF6090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50BD9A71" w14:textId="77777777" w:rsidR="00A076B3" w:rsidRPr="004D3A15" w:rsidRDefault="004D3A15" w:rsidP="003638C4">
      <w:pPr>
        <w:pStyle w:val="Akapitzlist"/>
        <w:numPr>
          <w:ilvl w:val="0"/>
          <w:numId w:val="32"/>
        </w:numPr>
        <w:rPr>
          <w:rFonts w:asciiTheme="minorHAnsi" w:hAnsiTheme="minorHAnsi"/>
          <w:lang w:eastAsia="x-none"/>
        </w:rPr>
      </w:pPr>
      <w:r w:rsidRPr="00FF6090">
        <w:rPr>
          <w:rFonts w:ascii="Verdana" w:hAnsi="Verdana"/>
          <w:sz w:val="18"/>
          <w:szCs w:val="18"/>
          <w:lang w:eastAsia="x-none"/>
        </w:rPr>
        <w:t>Warunki przyłączenia.</w:t>
      </w:r>
    </w:p>
    <w:sectPr w:rsidR="00A076B3" w:rsidRPr="004D3A15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5810" w14:textId="77777777" w:rsidR="0061598E" w:rsidRDefault="0061598E">
      <w:r>
        <w:separator/>
      </w:r>
    </w:p>
  </w:endnote>
  <w:endnote w:type="continuationSeparator" w:id="0">
    <w:p w14:paraId="44A86BA7" w14:textId="77777777" w:rsidR="0061598E" w:rsidRDefault="0061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9FBD" w14:textId="77777777" w:rsidR="00E6776D" w:rsidRDefault="00E677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0603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B5F7F">
      <w:rPr>
        <w:noProof/>
      </w:rPr>
      <w:t>6</w:t>
    </w:r>
    <w:r>
      <w:fldChar w:fldCharType="end"/>
    </w:r>
  </w:p>
  <w:p w14:paraId="38DD6606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3BCB" w14:textId="77777777" w:rsidR="00E6776D" w:rsidRDefault="00E677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B2D3" w14:textId="77777777" w:rsidR="0061598E" w:rsidRDefault="0061598E">
      <w:r>
        <w:separator/>
      </w:r>
    </w:p>
  </w:footnote>
  <w:footnote w:type="continuationSeparator" w:id="0">
    <w:p w14:paraId="1C2C0D73" w14:textId="77777777" w:rsidR="0061598E" w:rsidRDefault="0061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D7283" w14:textId="77777777" w:rsidR="00E6776D" w:rsidRDefault="00E677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F6090" w:rsidRPr="006B2C28" w14:paraId="5091C99A" w14:textId="77777777" w:rsidTr="00282DEE">
      <w:trPr>
        <w:trHeight w:val="1140"/>
      </w:trPr>
      <w:tc>
        <w:tcPr>
          <w:tcW w:w="6119" w:type="dxa"/>
          <w:vAlign w:val="center"/>
        </w:tcPr>
        <w:p w14:paraId="2C6BE3BE" w14:textId="77777777" w:rsidR="00FF6090" w:rsidRPr="006E100D" w:rsidRDefault="00FF6090" w:rsidP="00FF60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20CC5AB" w14:textId="77777777" w:rsidR="00FF6090" w:rsidRPr="006E100D" w:rsidRDefault="00FF6090" w:rsidP="00FF60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7F07FC32" w14:textId="7A6E96CA" w:rsidR="00FF6090" w:rsidRPr="006B2C28" w:rsidRDefault="00FF6090" w:rsidP="00FF60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6776D">
            <w:rPr>
              <w:rFonts w:asciiTheme="majorHAnsi" w:hAnsiTheme="majorHAnsi"/>
              <w:color w:val="000000" w:themeColor="text1"/>
              <w:sz w:val="14"/>
              <w:szCs w:val="18"/>
            </w:rPr>
            <w:t>04160</w:t>
          </w:r>
          <w:r w:rsidRPr="00C13454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70630A83" w14:textId="77777777" w:rsidR="00FF6090" w:rsidRPr="006B2C28" w:rsidRDefault="00FF6090" w:rsidP="00FF609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229749A4" w14:textId="77777777" w:rsidR="00FF6090" w:rsidRPr="006B2C28" w:rsidRDefault="00FF6090" w:rsidP="00FF609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0F0CA68" w14:textId="77777777" w:rsidR="00FF6090" w:rsidRPr="006B2C28" w:rsidRDefault="00FF6090" w:rsidP="00FF609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2336" behindDoc="0" locked="0" layoutInCell="1" allowOverlap="1" wp14:anchorId="5C8929AD" wp14:editId="1510B50E">
                <wp:simplePos x="0" y="0"/>
                <wp:positionH relativeFrom="column">
                  <wp:posOffset>300355</wp:posOffset>
                </wp:positionH>
                <wp:positionV relativeFrom="page">
                  <wp:posOffset>-214630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3F00047" w14:textId="606D89F6" w:rsidR="0061598E" w:rsidRPr="00FF6090" w:rsidRDefault="00FF6090" w:rsidP="00FF6090">
    <w:pPr>
      <w:pStyle w:val="Nagwek"/>
      <w:ind w:left="0" w:firstLine="0"/>
      <w:jc w:val="right"/>
      <w:rPr>
        <w:sz w:val="18"/>
        <w:szCs w:val="18"/>
      </w:rPr>
    </w:pPr>
    <w:r w:rsidRPr="00FF6090">
      <w:rPr>
        <w:rFonts w:ascii="Verdana" w:eastAsia="Verdana" w:hAnsi="Verdana"/>
        <w:b/>
        <w:sz w:val="18"/>
        <w:szCs w:val="18"/>
      </w:rPr>
      <w:t>ZAŁĄCZNIK NR 1.7 DO SWZ – SPECYFIKACJA TECHNICZNA</w:t>
    </w:r>
    <w:r w:rsidR="00E6776D">
      <w:rPr>
        <w:rFonts w:ascii="Verdana" w:eastAsia="Verdana" w:hAnsi="Verdana"/>
        <w:b/>
        <w:sz w:val="18"/>
        <w:szCs w:val="18"/>
      </w:rPr>
      <w:t xml:space="preserve"> – część </w:t>
    </w:r>
    <w:r w:rsidR="00E6776D">
      <w:rPr>
        <w:rFonts w:ascii="Verdana" w:eastAsia="Verdana" w:hAnsi="Verdana"/>
        <w:b/>
        <w:sz w:val="18"/>
        <w:szCs w:val="1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F72D8" w14:textId="77777777" w:rsidR="00E6776D" w:rsidRDefault="00E677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7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26145271">
    <w:abstractNumId w:val="76"/>
  </w:num>
  <w:num w:numId="2" w16cid:durableId="2019578868">
    <w:abstractNumId w:val="69"/>
  </w:num>
  <w:num w:numId="3" w16cid:durableId="1234699015">
    <w:abstractNumId w:val="73"/>
  </w:num>
  <w:num w:numId="4" w16cid:durableId="88083785">
    <w:abstractNumId w:val="77"/>
  </w:num>
  <w:num w:numId="5" w16cid:durableId="309210971">
    <w:abstractNumId w:val="67"/>
  </w:num>
  <w:num w:numId="6" w16cid:durableId="414936839">
    <w:abstractNumId w:val="74"/>
  </w:num>
  <w:num w:numId="7" w16cid:durableId="528494428">
    <w:abstractNumId w:val="81"/>
  </w:num>
  <w:num w:numId="8" w16cid:durableId="328607563">
    <w:abstractNumId w:val="80"/>
  </w:num>
  <w:num w:numId="9" w16cid:durableId="1043793038">
    <w:abstractNumId w:val="60"/>
  </w:num>
  <w:num w:numId="10" w16cid:durableId="590552422">
    <w:abstractNumId w:val="79"/>
  </w:num>
  <w:num w:numId="11" w16cid:durableId="468280290">
    <w:abstractNumId w:val="53"/>
  </w:num>
  <w:num w:numId="12" w16cid:durableId="2114134084">
    <w:abstractNumId w:val="56"/>
  </w:num>
  <w:num w:numId="13" w16cid:durableId="355036788">
    <w:abstractNumId w:val="62"/>
  </w:num>
  <w:num w:numId="14" w16cid:durableId="1639383628">
    <w:abstractNumId w:val="63"/>
  </w:num>
  <w:num w:numId="15" w16cid:durableId="1915578783">
    <w:abstractNumId w:val="70"/>
  </w:num>
  <w:num w:numId="16" w16cid:durableId="618996810">
    <w:abstractNumId w:val="75"/>
  </w:num>
  <w:num w:numId="17" w16cid:durableId="15975948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749770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6162464">
    <w:abstractNumId w:val="70"/>
  </w:num>
  <w:num w:numId="20" w16cid:durableId="1525746539">
    <w:abstractNumId w:val="61"/>
  </w:num>
  <w:num w:numId="21" w16cid:durableId="1495803215">
    <w:abstractNumId w:val="68"/>
  </w:num>
  <w:num w:numId="22" w16cid:durableId="901873304">
    <w:abstractNumId w:val="65"/>
  </w:num>
  <w:num w:numId="23" w16cid:durableId="1400709706">
    <w:abstractNumId w:val="59"/>
  </w:num>
  <w:num w:numId="24" w16cid:durableId="106588342">
    <w:abstractNumId w:val="78"/>
  </w:num>
  <w:num w:numId="25" w16cid:durableId="703991293">
    <w:abstractNumId w:val="66"/>
  </w:num>
  <w:num w:numId="26" w16cid:durableId="1134560503">
    <w:abstractNumId w:val="54"/>
  </w:num>
  <w:num w:numId="27" w16cid:durableId="638538556">
    <w:abstractNumId w:val="71"/>
  </w:num>
  <w:num w:numId="28" w16cid:durableId="199683233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0520003">
    <w:abstractNumId w:val="58"/>
  </w:num>
  <w:num w:numId="30" w16cid:durableId="191997169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3646147">
    <w:abstractNumId w:val="55"/>
  </w:num>
  <w:num w:numId="32" w16cid:durableId="1060981154">
    <w:abstractNumId w:val="72"/>
  </w:num>
  <w:num w:numId="33" w16cid:durableId="1134788597">
    <w:abstractNumId w:val="6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3D9C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17A0B"/>
    <w:rsid w:val="00217E06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1147"/>
    <w:rsid w:val="00542E8F"/>
    <w:rsid w:val="00542F0B"/>
    <w:rsid w:val="00545CEA"/>
    <w:rsid w:val="00546FE3"/>
    <w:rsid w:val="00550A82"/>
    <w:rsid w:val="00551A13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5F7F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1235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C38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6776D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3800"/>
    <w:rsid w:val="00FF4847"/>
    <w:rsid w:val="00FF6090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0F5DFE66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1.7 Załącznik nr 1.7 (bez pozwolenia na budowę i zgłoszenia) TYLKO DLA ROBÓT NIETYPOWYCH - NOWE część 1.docx</dmsv2BaseFileName>
    <dmsv2BaseDisplayName xmlns="http://schemas.microsoft.com/sharepoint/v3">1.7 Załącznik nr 1.7 (bez pozwolenia na budowę i zgłoszenia) TYLKO DLA ROBÓT NIETYPOWYCH - NOWE część 1</dmsv2BaseDisplayName>
    <dmsv2SWPP2ObjectNumber xmlns="http://schemas.microsoft.com/sharepoint/v3">POST/DYS/OLD/GZ/04160/2025                        </dmsv2SWPP2ObjectNumber>
    <dmsv2SWPP2SumMD5 xmlns="http://schemas.microsoft.com/sharepoint/v3">0ee065d39c4dd94106b3ed7bda709a34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23770404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DPFVW34YURAE-1996658973-7944</_dlc_DocId>
    <_dlc_DocIdUrl xmlns="a19cb1c7-c5c7-46d4-85ae-d83685407bba">
      <Url>https://swpp2.dms.gkpge.pl/sites/40/_layouts/15/DocIdRedir.aspx?ID=DPFVW34YURAE-1996658973-7944</Url>
      <Description>DPFVW34YURAE-1996658973-7944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A49D6-AF41-41C9-A2F0-D5EDD7434D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A0A414D-4B5B-4B55-AC30-FA93D1132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9758C-2371-4D5A-8EE3-AECA96D9CA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B8E097-7586-4506-9349-CE285C14933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9281751-AA9C-4C21-8EE5-4E91FDA0A4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2132</Words>
  <Characters>14825</Characters>
  <Application>Microsoft Office Word</Application>
  <DocSecurity>0</DocSecurity>
  <Lines>123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Pietruszewski Piotr [PGE Dystr. O.Łódź]</cp:lastModifiedBy>
  <cp:revision>2</cp:revision>
  <cp:lastPrinted>2011-10-20T15:55:00Z</cp:lastPrinted>
  <dcterms:created xsi:type="dcterms:W3CDTF">2025-11-19T07:35:00Z</dcterms:created>
  <dcterms:modified xsi:type="dcterms:W3CDTF">2025-11-19T07:35:00Z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b3871009-8998-4ea0-97b2-ef44fc258e9e</vt:lpwstr>
  </property>
</Properties>
</file>